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val="en-US" w:eastAsia="zh-CN"/>
        </w:rPr>
        <w:t>蓝领公寓及总部港办公楼</w:t>
      </w: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  <w:t>房产财产综合险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eastAsia="方正小标宋_GBK" w:asciiTheme="majorEastAsia" w:hAnsi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</w:rPr>
        <w:t>询价</w:t>
      </w: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val="en-US" w:eastAsia="zh-CN"/>
        </w:rPr>
        <w:t>采购公告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一、项目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b w:val="0"/>
          <w:bCs w:val="0"/>
          <w:kern w:val="0"/>
          <w:sz w:val="32"/>
          <w:szCs w:val="32"/>
        </w:rPr>
        <w:t>1</w:t>
      </w:r>
      <w:r>
        <w:rPr>
          <w:rFonts w:hint="eastAsia" w:ascii="仿宋" w:hAnsi="仿宋" w:eastAsia="仿宋" w:cs="楷体"/>
          <w:b w:val="0"/>
          <w:bCs w:val="0"/>
          <w:kern w:val="0"/>
          <w:sz w:val="32"/>
          <w:szCs w:val="32"/>
          <w:lang w:val="en-US" w:eastAsia="zh-CN"/>
        </w:rPr>
        <w:t>.采购单位</w:t>
      </w:r>
      <w:r>
        <w:rPr>
          <w:rFonts w:hint="eastAsia" w:ascii="仿宋" w:hAnsi="仿宋" w:eastAsia="仿宋" w:cs="楷体"/>
          <w:b w:val="0"/>
          <w:bCs w:val="0"/>
          <w:kern w:val="0"/>
          <w:sz w:val="32"/>
          <w:szCs w:val="32"/>
        </w:rPr>
        <w:t>：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青岛城投姜山产业新城投资有限公司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2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服务名称：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蓝领公寓及总部港办公楼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房产财产综合险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3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服务内容：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蓝领公寓及总部港办公楼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房产财产综合险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详见下表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；每次事故免赔额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人民币1000元或者损失金额的5%，两者以高者为准。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4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服务地点：保险所列明标的场所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5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采购预算：保险费率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0.09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‰/年，三年保费合计不超过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27698.97</w:t>
      </w: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元。</w:t>
      </w:r>
    </w:p>
    <w:tbl>
      <w:tblPr>
        <w:tblStyle w:val="9"/>
        <w:tblW w:w="8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3165"/>
        <w:gridCol w:w="2865"/>
        <w:gridCol w:w="21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投保标的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标的坐落地址</w:t>
            </w:r>
          </w:p>
        </w:tc>
        <w:tc>
          <w:tcPr>
            <w:tcW w:w="2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保险金额（元）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房屋建筑（莱西姜山产业新城蓝领公寓18#（B座）、19#（A座））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姜山镇烟青一级路66号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73290040.00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房屋建筑（城投总部港办公楼）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姜山镇阳安路6号</w:t>
            </w:r>
          </w:p>
        </w:tc>
        <w:tc>
          <w:tcPr>
            <w:tcW w:w="2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29298742.56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sz w:val="32"/>
          <w:szCs w:val="32"/>
        </w:rPr>
        <w:t>人的资格要求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1.国内注册，经中国银行保险监督管理委员会批准，具有保险业务经营许可证的保险公司。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2.投标单位在询价公告发布之日前三年内，信誉良好、无不良记录，无行贿犯罪等重大违法记录。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3.本项目不接受联合体报价。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服务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要求</w:t>
      </w:r>
    </w:p>
    <w:p>
      <w:pPr>
        <w:spacing w:line="560" w:lineRule="exact"/>
        <w:ind w:firstLine="640" w:firstLineChars="200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服务要求：根据项目实际情况和具体要求提供匹配的保险服务。公告期内可联系采购单位随时配合进行项目现场查看。对保险期限内采购单位相关保险的一切变更事宜及出险理赔事宜，做到第一时间与采购单位的人员对接。</w:t>
      </w:r>
    </w:p>
    <w:p>
      <w:pPr>
        <w:widowControl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服务期限：服务期限均为3年。</w:t>
      </w:r>
    </w:p>
    <w:p>
      <w:pPr>
        <w:widowControl/>
        <w:ind w:firstLine="640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续签条件：合同先签订一年，到期后，采购单位对中标单位的服务满意，双方自愿且经采购单位同意，可在原服务内容不变、服务价格不变的基础上续签一年。如发生保险理赔事件，则采购单位对中标单位提供的保险理赔服务进行考核，考核结果合格才能达到服务满意标准。如采购单位原因无法续签，则提前一个月通知中标单位，可终止合同。</w:t>
      </w:r>
    </w:p>
    <w:p>
      <w:pPr>
        <w:widowControl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保险理赔服务考核要求：如发生保险理赔事件，采购单位将对中标单位保险理赔服务进行考核（附件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），得分在90分及以上，评价为考核结果合格；得分在90分以下（不含90分），评价为考核结果不合格，不再续签合同。</w:t>
      </w:r>
    </w:p>
    <w:p>
      <w:pPr>
        <w:widowControl/>
        <w:ind w:firstLine="640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5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人员配备要求：承保人员1名、理赔服务人员1名</w:t>
      </w:r>
    </w:p>
    <w:p>
      <w:pPr>
        <w:widowControl/>
        <w:ind w:firstLine="64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服务标准：及时、便捷处理理赔案件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、报价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要求</w:t>
      </w:r>
    </w:p>
    <w:p>
      <w:pPr>
        <w:widowControl/>
        <w:ind w:firstLine="645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投标报价应为含税全包价，报价应包括但不限于投保标的、保险费率、总保费。</w:t>
      </w:r>
    </w:p>
    <w:p>
      <w:pPr>
        <w:widowControl/>
        <w:ind w:firstLine="645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报价不得高于采购预算费率，否则视为无效报价。</w:t>
      </w:r>
    </w:p>
    <w:p>
      <w:pPr>
        <w:widowControl/>
        <w:ind w:firstLine="645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付款方式：出具保单后一次性付款。</w:t>
      </w:r>
    </w:p>
    <w:p>
      <w:pPr>
        <w:widowControl/>
        <w:ind w:firstLine="645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报价文件资料包括：营业执照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、保险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资质证明文件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、法人身份证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复印件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、报价承诺函（附件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）、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含税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报价单（附件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）、反腐败政策告知书（附件3）各1份，上述材料</w:t>
      </w:r>
      <w:bookmarkStart w:id="0" w:name="OLE_LINK8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均需加盖公司印章</w:t>
      </w:r>
      <w:bookmarkEnd w:id="0"/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，并按照本询价函附件格式提交材料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资料提供不全或未按要求提供的视为报价无效。</w:t>
      </w:r>
    </w:p>
    <w:p>
      <w:pPr>
        <w:widowControl/>
        <w:spacing w:line="580" w:lineRule="exact"/>
        <w:ind w:firstLine="640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.密封要求：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以上材料需加盖公章并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放入一个密封件中提交，密封件包装袋正面和封口格式见附件4，并在封口处加盖单位公章。</w:t>
      </w:r>
    </w:p>
    <w:p>
      <w:pPr>
        <w:widowControl/>
        <w:spacing w:line="580" w:lineRule="exact"/>
        <w:ind w:firstLine="643"/>
        <w:jc w:val="left"/>
        <w:rPr>
          <w:rFonts w:ascii="黑体" w:hAnsi="黑体" w:eastAsia="黑体" w:cs="黑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五、评标方式</w:t>
      </w:r>
    </w:p>
    <w:p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本次询价采用最低价中标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2.如出现相同最低报价，由注册资本金额高的报价单位中标。</w:t>
      </w:r>
    </w:p>
    <w:p>
      <w:pPr>
        <w:numPr>
          <w:ilvl w:val="-1"/>
          <w:numId w:val="0"/>
        </w:numPr>
        <w:spacing w:line="240" w:lineRule="auto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Arial"/>
          <w:bCs/>
          <w:color w:val="333333"/>
          <w:kern w:val="0"/>
          <w:sz w:val="32"/>
          <w:szCs w:val="32"/>
        </w:rPr>
        <w:t>报价截止时间、形式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报价截止时间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2024年5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日下午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17:00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报价形式：报价文件可采取邮寄或现场递交的形式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地点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及联系方式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：青岛市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莱西市姜山镇阳安路6号城投总部港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0532-</w:t>
      </w:r>
      <w:r>
        <w:rPr>
          <w:rFonts w:hint="eastAsia" w:ascii="仿宋" w:hAnsi="仿宋" w:eastAsia="仿宋" w:cs="仿宋"/>
          <w:kern w:val="0"/>
          <w:sz w:val="32"/>
          <w:szCs w:val="32"/>
        </w:rPr>
        <w:t>81875277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联系人：尹浩冰。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未及时送达或不满足询价要求的报价文件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我公司将不予受理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widowControl/>
        <w:spacing w:line="58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附件：1.报价承诺函</w:t>
      </w:r>
    </w:p>
    <w:p>
      <w:pPr>
        <w:pStyle w:val="6"/>
        <w:spacing w:before="0" w:after="0" w:line="560" w:lineRule="exact"/>
        <w:ind w:firstLine="1600" w:firstLineChars="500"/>
        <w:jc w:val="both"/>
        <w:outlineLvl w:val="2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Hans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-SA"/>
        </w:rPr>
        <w:t>财产综合险费用含税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Hans" w:bidi="ar-SA"/>
        </w:rPr>
        <w:t>报价单</w:t>
      </w:r>
    </w:p>
    <w:p>
      <w:pPr>
        <w:spacing w:line="360" w:lineRule="auto"/>
        <w:ind w:firstLine="1600" w:firstLineChars="500"/>
        <w:jc w:val="both"/>
        <w:rPr>
          <w:rFonts w:hint="eastAsia" w:ascii="仿宋" w:hAnsi="仿宋" w:eastAsia="仿宋" w:cs="仿宋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.</w:t>
      </w:r>
      <w:bookmarkStart w:id="1" w:name="_Hlk130764968"/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反腐败政策告知书</w:t>
      </w:r>
      <w:bookmarkEnd w:id="1"/>
    </w:p>
    <w:p>
      <w:pPr>
        <w:spacing w:line="360" w:lineRule="auto"/>
        <w:ind w:firstLine="1600" w:firstLineChars="500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4.报价文件包装袋密封件正面和封口格式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right"/>
        <w:textAlignment w:val="auto"/>
        <w:rPr>
          <w:rFonts w:hint="eastAsia" w:ascii="仿宋" w:hAnsi="仿宋" w:eastAsia="仿宋" w:cs="楷体"/>
          <w:caps w:val="0"/>
          <w:kern w:val="0"/>
          <w:sz w:val="32"/>
          <w:szCs w:val="32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</w:rPr>
        <w:t>青岛城投姜山产业新城投资有限公司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ind w:firstLine="640" w:firstLineChars="200"/>
        <w:jc w:val="right"/>
        <w:textAlignment w:val="auto"/>
        <w:rPr>
          <w:rFonts w:hint="default" w:ascii="仿宋" w:hAnsi="仿宋" w:eastAsia="仿宋" w:cs="楷体"/>
          <w:caps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caps w:val="0"/>
          <w:kern w:val="0"/>
          <w:sz w:val="32"/>
          <w:szCs w:val="32"/>
          <w:lang w:val="en-US" w:eastAsia="zh-CN"/>
        </w:rPr>
        <w:t>2024年5月23日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1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  <w:lang w:eastAsia="zh-Hans"/>
        </w:rPr>
      </w:pPr>
    </w:p>
    <w:p>
      <w:pPr>
        <w:spacing w:line="560" w:lineRule="exact"/>
        <w:jc w:val="center"/>
        <w:rPr>
          <w:rFonts w:ascii="方正小标宋_GBK" w:hAnsi="方正小标宋简体" w:eastAsia="方正小标宋_GBK" w:cs="方正小标宋简体"/>
          <w:sz w:val="44"/>
          <w:szCs w:val="44"/>
          <w:lang w:eastAsia="zh-Hans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val="en-US" w:eastAsia="zh-Hans"/>
        </w:rPr>
        <w:t>报价承诺函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  <w:lang w:eastAsia="zh-Hans"/>
        </w:rPr>
      </w:pPr>
    </w:p>
    <w:p>
      <w:pPr>
        <w:widowControl/>
        <w:spacing w:line="560" w:lineRule="exact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致：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青岛城投姜山产业新城投资有限公司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根据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/>
        </w:rPr>
        <w:t>蓝领公寓及总部港办公楼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房产财产综合险询价采购公告要求，经仔细研究，我方已完全理解并全部接受公告的所有要求。考虑到了潜在的所有风险，我方愿按投标报价承担询价公告规定的工作并作如下承诺：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1.我方已详细审查全部询价采购文件，同意询价采购文件的各项要求。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2.我方向贵方提交的所有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报价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文件、资料都是准确的和真实的。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3.若我方中标，将按要求及时签订合同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（或出具保单）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4.我方保证在合同签订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</w:rPr>
        <w:t>（或保单出具）</w:t>
      </w: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后，按要求的时间、服务范围、内容、标准，优质高效地完成委托任务。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5.我方保证在合同履行期内做到公正、保密。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  <w:t>6.我方承诺对所有提交的成果承担法律责任。</w:t>
      </w: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</w:p>
    <w:p>
      <w:pPr>
        <w:widowControl/>
        <w:spacing w:line="560" w:lineRule="exact"/>
        <w:ind w:firstLine="640"/>
        <w:jc w:val="left"/>
        <w:rPr>
          <w:rFonts w:hint="eastAsia" w:ascii="仿宋" w:hAnsi="仿宋" w:eastAsia="仿宋" w:cs="仿宋"/>
          <w:color w:val="333333"/>
          <w:kern w:val="0"/>
          <w:sz w:val="32"/>
          <w:szCs w:val="32"/>
          <w:lang w:eastAsia="zh-Hans"/>
        </w:rPr>
      </w:pP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报价人（盖章）：  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  <w:lang w:eastAsia="zh-Hans"/>
        </w:rPr>
      </w:pPr>
      <w:r>
        <w:rPr>
          <w:rFonts w:hint="eastAsia" w:ascii="仿宋" w:hAnsi="仿宋" w:eastAsia="仿宋" w:cs="仿宋"/>
          <w:sz w:val="32"/>
          <w:szCs w:val="32"/>
          <w:lang w:eastAsia="zh-Hans"/>
        </w:rPr>
        <w:t xml:space="preserve">日期：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年  月  日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zh-CN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zh-CN"/>
        </w:rPr>
        <w:t xml:space="preserve"> </w:t>
      </w:r>
    </w:p>
    <w:p>
      <w:pPr>
        <w:pStyle w:val="6"/>
        <w:spacing w:before="0" w:after="0" w:line="560" w:lineRule="exact"/>
        <w:jc w:val="center"/>
        <w:outlineLvl w:val="2"/>
        <w:rPr>
          <w:rFonts w:hint="eastAsia" w:ascii="仿宋" w:hAnsi="仿宋" w:eastAsia="仿宋" w:cs="方正小标宋简体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36"/>
          <w:szCs w:val="36"/>
          <w:lang w:val="en-US" w:eastAsia="zh-CN"/>
        </w:rPr>
        <w:t>财产综合险费用含税</w:t>
      </w:r>
      <w:r>
        <w:rPr>
          <w:rFonts w:hint="eastAsia" w:ascii="方正小标宋简体" w:hAnsi="微软雅黑" w:eastAsia="方正小标宋简体" w:cs="宋体"/>
          <w:color w:val="000000"/>
          <w:kern w:val="36"/>
          <w:sz w:val="36"/>
          <w:szCs w:val="36"/>
          <w:lang w:val="en-US" w:eastAsia="zh-Hans"/>
        </w:rPr>
        <w:t>报价单</w:t>
      </w:r>
    </w:p>
    <w:p>
      <w:pPr>
        <w:jc w:val="right"/>
        <w:rPr>
          <w:rFonts w:hint="default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方正小标宋简体"/>
          <w:sz w:val="24"/>
          <w:szCs w:val="24"/>
          <w:lang w:val="en-US" w:eastAsia="zh-CN"/>
        </w:rPr>
        <w:t>单位：元</w:t>
      </w:r>
    </w:p>
    <w:tbl>
      <w:tblPr>
        <w:tblStyle w:val="9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6"/>
        <w:gridCol w:w="1665"/>
        <w:gridCol w:w="777"/>
        <w:gridCol w:w="1017"/>
        <w:gridCol w:w="966"/>
        <w:gridCol w:w="1035"/>
        <w:gridCol w:w="1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bookmarkStart w:id="2" w:name="_Hlk48723677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项目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保险金额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费率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年保费</w:t>
            </w:r>
          </w:p>
        </w:tc>
        <w:tc>
          <w:tcPr>
            <w:tcW w:w="9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总保费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免赔额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莱西姜山产业新城蓝领公寓18#（B座）、19#（A座）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73290040.00</w:t>
            </w:r>
          </w:p>
        </w:tc>
        <w:tc>
          <w:tcPr>
            <w:tcW w:w="77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  <w:t>人民币1000元或者损失金额的5%，两者以高者为准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城投总部港办公楼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29298742.56</w:t>
            </w: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4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102588782.56 </w:t>
            </w:r>
          </w:p>
        </w:tc>
        <w:tc>
          <w:tcPr>
            <w:tcW w:w="77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6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bookmarkEnd w:id="2"/>
    </w:tbl>
    <w:p>
      <w:pPr>
        <w:spacing w:line="560" w:lineRule="exact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说明：1.保险金额为资产账面价值；</w:t>
      </w:r>
    </w:p>
    <w:p>
      <w:pPr>
        <w:spacing w:line="560" w:lineRule="exact"/>
        <w:ind w:firstLine="720" w:firstLineChars="3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2.以上报价为含税全包价，包含提供相关服务的所有费用；</w:t>
      </w:r>
    </w:p>
    <w:p>
      <w:pPr>
        <w:spacing w:line="560" w:lineRule="exact"/>
        <w:ind w:firstLine="720" w:firstLineChars="3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3.报价不得高于采购预算金额及费率；</w:t>
      </w:r>
    </w:p>
    <w:p>
      <w:pPr>
        <w:spacing w:line="560" w:lineRule="exact"/>
        <w:ind w:firstLine="720" w:firstLineChars="30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4.本次询价采购服务期限均为3年，合同每年一签，到期后，双方无异议且考核合格后，在原服务内容不变、服务价格不变的基础上续签一年。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报价单位名称：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（公章）</w:t>
      </w:r>
    </w:p>
    <w:p>
      <w:pPr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spacing w:line="440" w:lineRule="exact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440" w:lineRule="exact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440" w:lineRule="exact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spacing w:line="440" w:lineRule="exact"/>
        <w:jc w:val="left"/>
        <w:outlineLvl w:val="3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spacing w:line="56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eastAsia="zh-Hans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44"/>
          <w:szCs w:val="44"/>
          <w:lang w:val="en-US" w:eastAsia="zh-Hans"/>
        </w:rPr>
        <w:t>反腐败政策告知书</w:t>
      </w:r>
    </w:p>
    <w:p>
      <w:pPr>
        <w:spacing w:line="560" w:lineRule="exact"/>
        <w:jc w:val="center"/>
        <w:rPr>
          <w:rFonts w:hint="eastAsia" w:ascii="方正小标宋_GBK" w:hAnsi="方正小标宋简体" w:eastAsia="方正小标宋_GBK" w:cs="方正小标宋简体"/>
          <w:sz w:val="44"/>
          <w:szCs w:val="44"/>
          <w:lang w:eastAsia="zh-Hans"/>
        </w:rPr>
      </w:pPr>
    </w:p>
    <w:p>
      <w:pPr>
        <w:pStyle w:val="8"/>
        <w:widowControl/>
        <w:spacing w:beforeAutospacing="0" w:afterAutospacing="0"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各合作伙伴：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青岛城投姜山产业新城投资有限公司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  <w:lang w:val="en-US" w:eastAsia="zh-CN"/>
        </w:rPr>
        <w:t>以下简称“新城公司”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始终坚持诚信经营，恪守商业道德，遵守所有适用的法律法规，对贿赂和腐败行为持“零容忍”态度。</w:t>
      </w:r>
    </w:p>
    <w:p>
      <w:pPr>
        <w:widowControl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要求所有合作伙伴遵守所有适用的反腐败法律法规，遵从业界通行的道德标准，在提供服务和履行合同义务时，或代表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向公司客户或其他第三方提供服务和履行合同义务时，应当遵守以下行为： 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1.不实施任何形式的贿赂和腐败行为。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禁止任何员工行贿和受贿，如果任何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员工试图通过、协助、教唆、促使合作伙伴或与其合谋的方式进行贿赂，合作伙伴应明确拒绝并主动向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举报。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2.不以任何形式贿赂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员工。避免采取任何可能导致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承担连带责任的不当行动等。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3.保留真实、准确和完整的帐簿和记录，不在账簿和记录中录入虚假、不准确、不完整、伪造或误导性条目。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4.合作伙伴应将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的反腐败要求传递给其员工及其合作伙伴，并定期审视。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5.配合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的工作。为确保合作伙伴始终遵守法律、道德及反腐败要求。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如果任何合作伙伴未能遵守相关行为或违反有关承诺，或做出了任何虚假或欺骗性声明、陈述或保证，或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有合理理由相信合作伙伴实施了上述行为，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有权在发出书面通知后立即暂停或终止与该合作伙伴的合作关系；同时保留向其追究法律责任的权利。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如果合作伙伴对本告知书有任何疑问，或者发现任何合作伙伴或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员工已经违反所适用的反腐败法律法规，请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通过以下联系方式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将有关情况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反馈：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0532-81875277，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将对相关举报线索严守秘密并展开调查，并确保被举报人不会对举报方进行威胁或者打击报复。</w:t>
      </w:r>
    </w:p>
    <w:p>
      <w:pPr>
        <w:pStyle w:val="8"/>
        <w:widowControl/>
        <w:spacing w:beforeAutospacing="0" w:afterAutospacing="0" w:line="56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若本政策与当地法律法规等不一致，则以其中更为严格的要求为准。本告知书适用于各合作伙伴与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负责参与、管理的日常经营业务。</w:t>
      </w:r>
    </w:p>
    <w:p>
      <w:pPr>
        <w:pStyle w:val="8"/>
        <w:widowControl/>
        <w:spacing w:beforeAutospacing="0" w:afterAutospacing="0" w:line="560" w:lineRule="exact"/>
        <w:ind w:firstLine="643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承诺声明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：本单位对《反腐败政策告知书》内容已知悉，承诺将严格遵守</w:t>
      </w:r>
      <w:r>
        <w:rPr>
          <w:rFonts w:hint="eastAsia" w:ascii="仿宋" w:hAnsi="仿宋" w:eastAsia="仿宋" w:cs="仿宋"/>
          <w:caps w:val="0"/>
          <w:kern w:val="0"/>
          <w:sz w:val="32"/>
          <w:szCs w:val="32"/>
        </w:rPr>
        <w:t>新城公司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反腐败相关要求，否则将承担一切不利后果。</w:t>
      </w:r>
    </w:p>
    <w:p>
      <w:pPr>
        <w:pStyle w:val="8"/>
        <w:widowControl/>
        <w:spacing w:beforeAutospacing="0" w:afterAutospacing="0"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beforeAutospacing="0" w:afterAutospacing="0" w:line="560" w:lineRule="exact"/>
        <w:ind w:firstLine="707" w:firstLineChars="221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beforeAutospacing="0" w:afterAutospacing="0" w:line="560" w:lineRule="exact"/>
        <w:ind w:firstLine="3520" w:firstLineChars="11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承诺单位（公章）：</w:t>
      </w:r>
    </w:p>
    <w:p>
      <w:pPr>
        <w:pStyle w:val="8"/>
        <w:widowControl/>
        <w:spacing w:beforeAutospacing="0" w:afterAutospacing="0" w:line="560" w:lineRule="exact"/>
        <w:ind w:firstLine="2240" w:firstLineChars="7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8"/>
        <w:widowControl/>
        <w:spacing w:beforeAutospacing="0" w:afterAutospacing="0" w:line="560" w:lineRule="exact"/>
        <w:ind w:firstLine="5760" w:firstLineChars="1800"/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    月    日</w:t>
      </w:r>
    </w:p>
    <w:p>
      <w:pPr>
        <w:pStyle w:val="4"/>
        <w:rPr>
          <w:rFonts w:hint="eastAsia" w:ascii="仿宋" w:hAnsi="仿宋" w:eastAsia="仿宋" w:cs="仿宋"/>
        </w:rPr>
      </w:pPr>
    </w:p>
    <w:p>
      <w:pPr>
        <w:widowControl/>
        <w:rPr>
          <w:rFonts w:hint="eastAsia" w:ascii="仿宋_GB2312" w:hAnsi="黑体" w:eastAsia="仿宋_GB2312" w:cs="方正仿宋_GB2312"/>
          <w:bCs/>
          <w:kern w:val="1"/>
          <w:sz w:val="32"/>
          <w:szCs w:val="32"/>
        </w:rPr>
      </w:pPr>
    </w:p>
    <w:p>
      <w:pPr>
        <w:widowControl/>
        <w:rPr>
          <w:rFonts w:hint="eastAsia" w:ascii="仿宋_GB2312" w:hAnsi="黑体" w:eastAsia="仿宋_GB2312" w:cs="方正仿宋_GB2312"/>
          <w:bCs/>
          <w:kern w:val="1"/>
          <w:sz w:val="32"/>
          <w:szCs w:val="32"/>
        </w:rPr>
      </w:pPr>
    </w:p>
    <w:p>
      <w:pPr>
        <w:widowControl/>
        <w:rPr>
          <w:rFonts w:hint="eastAsia" w:ascii="仿宋" w:hAnsi="仿宋" w:eastAsia="仿宋" w:cs="仿宋"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Cs/>
          <w:kern w:val="1"/>
          <w:sz w:val="32"/>
          <w:szCs w:val="32"/>
        </w:rPr>
        <w:t>附件</w:t>
      </w:r>
      <w:r>
        <w:rPr>
          <w:rFonts w:hint="eastAsia" w:ascii="仿宋" w:hAnsi="仿宋" w:eastAsia="仿宋" w:cs="仿宋"/>
          <w:bCs/>
          <w:kern w:val="1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ascii="宋体" w:hAnsi="宋体" w:cs="仿宋"/>
          <w:sz w:val="36"/>
          <w:szCs w:val="36"/>
        </w:rPr>
      </w:pPr>
      <w:r>
        <w:rPr>
          <w:rFonts w:hint="eastAsia" w:ascii="宋体" w:hAnsi="宋体" w:cs="仿宋"/>
          <w:sz w:val="36"/>
          <w:szCs w:val="36"/>
        </w:rPr>
        <w:t>报价文件包装袋密封件正面和封口格式</w:t>
      </w:r>
    </w:p>
    <w:p>
      <w:pPr>
        <w:wordWrap w:val="0"/>
        <w:spacing w:line="520" w:lineRule="exact"/>
        <w:jc w:val="center"/>
        <w:rPr>
          <w:rFonts w:hint="eastAsia" w:ascii="仿宋" w:hAnsi="仿宋" w:eastAsia="仿宋" w:cs="仿宋"/>
          <w:kern w:val="1"/>
          <w:sz w:val="32"/>
          <w:szCs w:val="32"/>
          <w:lang w:val="zh-CN"/>
        </w:rPr>
      </w:pPr>
      <w:r>
        <w:rPr>
          <w:rFonts w:hint="eastAsia" w:ascii="仿宋" w:hAnsi="仿宋" w:eastAsia="仿宋" w:cs="仿宋"/>
          <w:kern w:val="1"/>
          <w:sz w:val="32"/>
          <w:szCs w:val="32"/>
          <w:lang w:val="zh-CN"/>
        </w:rPr>
        <w:t>报价文件包装袋密封件正面格式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3" w:hRule="atLeast"/>
        </w:trPr>
        <w:tc>
          <w:tcPr>
            <w:tcW w:w="9260" w:type="dxa"/>
          </w:tcPr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收件人：</w:t>
            </w:r>
            <w:r>
              <w:rPr>
                <w:rFonts w:hint="eastAsia" w:ascii="仿宋" w:hAnsi="仿宋" w:eastAsia="仿宋" w:cs="仿宋"/>
                <w:caps w:val="0"/>
                <w:kern w:val="0"/>
                <w:sz w:val="32"/>
                <w:szCs w:val="32"/>
              </w:rPr>
              <w:t>青岛城投姜山产业新城投资有限公司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widowControl/>
              <w:spacing w:line="560" w:lineRule="atLeast"/>
              <w:outlineLvl w:val="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val="en-US" w:eastAsia="zh-CN"/>
              </w:rPr>
              <w:t>蓝领公寓及总部港办公楼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32"/>
                <w:szCs w:val="32"/>
                <w:lang w:eastAsia="zh-Hans"/>
              </w:rPr>
              <w:t>房产财产综合险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zh-CN"/>
              </w:rPr>
              <w:t>（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</w:rPr>
              <w:t>报价文件</w:t>
            </w:r>
            <w:r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zh-CN"/>
              </w:rPr>
              <w:t>）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zh-CN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bCs/>
                <w:color w:val="000000"/>
                <w:sz w:val="32"/>
                <w:szCs w:val="32"/>
                <w:lang w:val="zh-CN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投标单位名称：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投标单位地址：</w:t>
            </w:r>
          </w:p>
          <w:p>
            <w:pPr>
              <w:spacing w:line="600" w:lineRule="exact"/>
              <w:ind w:firstLine="960" w:firstLineChars="300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   月   日</w:t>
            </w: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_GB2312" w:hAnsi="仿宋" w:eastAsia="仿宋_GB2312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加盖投标单位公章</w:t>
            </w:r>
          </w:p>
        </w:tc>
      </w:tr>
    </w:tbl>
    <w:p>
      <w:pPr>
        <w:spacing w:line="600" w:lineRule="exact"/>
        <w:rPr>
          <w:rFonts w:ascii="仿宋_GB2312" w:hAnsi="仿宋" w:eastAsia="仿宋_GB2312" w:cs="仿宋"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jc w:val="both"/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报价文件包装袋密封件封口格式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9300" w:type="dxa"/>
          </w:tcPr>
          <w:p>
            <w:pPr>
              <w:spacing w:line="600" w:lineRule="exact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请勿在202</w:t>
            </w:r>
            <w:r>
              <w:rPr>
                <w:rFonts w:ascii="仿宋" w:hAnsi="仿宋" w:eastAsia="仿宋" w:cs="仿宋"/>
                <w:color w:val="000000"/>
                <w:sz w:val="32"/>
                <w:szCs w:val="32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年  月  日   之前启封</w:t>
            </w: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60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 xml:space="preserve">加盖投标单位公章 </w:t>
            </w:r>
          </w:p>
          <w:p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2"/>
          <w:szCs w:val="2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60" w:lineRule="exact"/>
        <w:ind w:firstLine="720" w:firstLineChars="200"/>
        <w:jc w:val="center"/>
        <w:rPr>
          <w:rFonts w:ascii="方正小标宋_GBK" w:hAnsi="黑体" w:eastAsia="方正小标宋_GBK" w:cs="黑体"/>
          <w:bCs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000000"/>
          <w:kern w:val="36"/>
          <w:sz w:val="36"/>
          <w:szCs w:val="36"/>
          <w:lang w:val="en-US" w:eastAsia="zh-Hans"/>
        </w:rPr>
        <w:t>保险理赔服务考核表</w:t>
      </w:r>
    </w:p>
    <w:tbl>
      <w:tblPr>
        <w:tblStyle w:val="10"/>
        <w:tblpPr w:leftFromText="180" w:rightFromText="180" w:vertAnchor="text" w:horzAnchor="page" w:tblpX="1605" w:tblpY="1211"/>
        <w:tblOverlap w:val="never"/>
        <w:tblW w:w="9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820"/>
        <w:gridCol w:w="3335"/>
        <w:gridCol w:w="3150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55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考核项目</w:t>
            </w:r>
          </w:p>
        </w:tc>
        <w:tc>
          <w:tcPr>
            <w:tcW w:w="820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分值</w:t>
            </w:r>
          </w:p>
        </w:tc>
        <w:tc>
          <w:tcPr>
            <w:tcW w:w="3335" w:type="dxa"/>
            <w:vAlign w:val="center"/>
          </w:tcPr>
          <w:p>
            <w:pPr>
              <w:ind w:firstLine="420" w:firstLineChars="200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考核标准</w:t>
            </w:r>
          </w:p>
        </w:tc>
        <w:tc>
          <w:tcPr>
            <w:tcW w:w="3150" w:type="dxa"/>
            <w:vAlign w:val="center"/>
          </w:tcPr>
          <w:p>
            <w:pPr>
              <w:ind w:firstLine="420" w:firstLineChars="200"/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评分标准</w:t>
            </w:r>
          </w:p>
        </w:tc>
        <w:tc>
          <w:tcPr>
            <w:tcW w:w="730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Cs w:val="21"/>
              </w:rPr>
            </w:pPr>
            <w:r>
              <w:rPr>
                <w:rFonts w:hint="eastAsia" w:ascii="黑体" w:hAnsi="黑体" w:eastAsia="黑体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55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响应时间</w:t>
            </w:r>
          </w:p>
        </w:tc>
        <w:tc>
          <w:tcPr>
            <w:tcW w:w="820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理赔人员接到报案后 1 小时内做出响应，2 小时内到达现场。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每发现一次不符合响应时间要求的，扣2分。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服务态度</w:t>
            </w:r>
          </w:p>
        </w:tc>
        <w:tc>
          <w:tcPr>
            <w:tcW w:w="820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保险公司理赔服务人员收到保险理赔报案后，服务人员应积极配合解决问题，给予全面正确答复。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服务人员答复态度消极、敷衍塞责，没有给予全面正确回答的，每发现一次扣2分。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理赔办结</w:t>
            </w:r>
          </w:p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期限</w:t>
            </w:r>
          </w:p>
        </w:tc>
        <w:tc>
          <w:tcPr>
            <w:tcW w:w="820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险公司收到赔偿或者给付保险金的请求后，及时作出核定，情况复杂的应当在三十日内作出核定。对属于保险责任的，达成赔偿或者给付保险金的协议后十日内，履行赔偿或者给付保险金义务。保险公司自收到赔偿或者给付保险金的请求和有关证明、资料之日起六十日内，对其赔偿或者给付保险金的数额不能确定的，应当根据已有证明和资料可以确定的数额先予支付。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每发现一处不符合办理期限要求的，扣5分。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理赔事故</w:t>
            </w:r>
          </w:p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事实认定</w:t>
            </w:r>
          </w:p>
        </w:tc>
        <w:tc>
          <w:tcPr>
            <w:tcW w:w="820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保险公司对保险理赔事故事实的认定有误，影响到保险公司是否做出给予保险理赔的决定以及保险理赔金额。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每发现一处保险公司认定理赔事故事实不符合客观事实，给采购单位造成损害的，扣10分。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155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理赔效果</w:t>
            </w:r>
          </w:p>
        </w:tc>
        <w:tc>
          <w:tcPr>
            <w:tcW w:w="820" w:type="dxa"/>
            <w:vAlign w:val="center"/>
          </w:tcPr>
          <w:p>
            <w:pPr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20分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保险公司收到赔偿或者给付保险金的请求和有关证明、资料，应当按照保险法规、规范、保险合同，给予被保险人或受益人赔偿或保险金。</w:t>
            </w: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8" w:firstLineChars="9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保险公司应当给付赔偿或保险金，而未给付的，发现一次，此项不得分；保险公司给付赔偿或保险金数额不符合保险法规、规范、保险合同，给采购单位造成损害的，发现一次扣10分。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vAlign w:val="center"/>
          </w:tcPr>
          <w:p>
            <w:pPr>
              <w:ind w:firstLine="19" w:firstLineChars="9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分值合计</w:t>
            </w:r>
          </w:p>
        </w:tc>
        <w:tc>
          <w:tcPr>
            <w:tcW w:w="820" w:type="dxa"/>
            <w:vAlign w:val="center"/>
          </w:tcPr>
          <w:p>
            <w:pPr>
              <w:ind w:firstLine="19" w:firstLineChars="9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100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分</w:t>
            </w:r>
          </w:p>
        </w:tc>
        <w:tc>
          <w:tcPr>
            <w:tcW w:w="3335" w:type="dxa"/>
            <w:vAlign w:val="center"/>
          </w:tcPr>
          <w:p>
            <w:pPr>
              <w:spacing w:line="276" w:lineRule="auto"/>
              <w:ind w:firstLine="19" w:firstLineChars="9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>
            <w:pPr>
              <w:spacing w:line="276" w:lineRule="auto"/>
              <w:ind w:firstLine="19" w:firstLineChars="9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  <w:t>总得分</w:t>
            </w:r>
          </w:p>
        </w:tc>
        <w:tc>
          <w:tcPr>
            <w:tcW w:w="730" w:type="dxa"/>
            <w:vAlign w:val="center"/>
          </w:tcPr>
          <w:p>
            <w:pPr>
              <w:ind w:firstLine="420" w:firstLineChars="200"/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</w:tbl>
    <w:p>
      <w:pPr>
        <w:spacing w:line="560" w:lineRule="exact"/>
        <w:rPr>
          <w:rFonts w:ascii="黑体" w:hAnsi="黑体" w:eastAsia="黑体" w:cs="黑体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4" w:lineRule="auto"/>
        <w:jc w:val="left"/>
        <w:textAlignment w:val="auto"/>
        <w:rPr>
          <w:rFonts w:hint="default" w:ascii="宋体" w:hAnsi="宋体" w:eastAsia="宋体" w:cs="宋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服务单位：                                         服务时间：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